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8579F" w14:textId="4659D4B2" w:rsidR="008E366F" w:rsidRDefault="00C15D35" w:rsidP="008E366F">
      <w:pPr>
        <w:rPr>
          <w:b/>
          <w:bCs/>
          <w:color w:val="CC0099"/>
        </w:rPr>
      </w:pPr>
      <w:r>
        <w:rPr>
          <w:b/>
          <w:bCs/>
          <w:noProof/>
          <w:color w:val="CC0099"/>
        </w:rPr>
        <w:drawing>
          <wp:inline distT="0" distB="0" distL="0" distR="0" wp14:anchorId="51836EC9" wp14:editId="6049CD8D">
            <wp:extent cx="2889885" cy="939165"/>
            <wp:effectExtent l="0" t="0" r="5715" b="0"/>
            <wp:docPr id="2051094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89885" cy="939165"/>
                    </a:xfrm>
                    <a:prstGeom prst="rect">
                      <a:avLst/>
                    </a:prstGeom>
                    <a:noFill/>
                  </pic:spPr>
                </pic:pic>
              </a:graphicData>
            </a:graphic>
          </wp:inline>
        </w:drawing>
      </w:r>
    </w:p>
    <w:p w14:paraId="40EBD2E4" w14:textId="77777777" w:rsidR="00C15D35" w:rsidRDefault="00C15D35" w:rsidP="008E366F">
      <w:pPr>
        <w:jc w:val="center"/>
        <w:rPr>
          <w:b/>
          <w:bCs/>
          <w:color w:val="FF7C80"/>
          <w:sz w:val="28"/>
          <w:szCs w:val="28"/>
          <w:u w:val="single"/>
        </w:rPr>
      </w:pPr>
    </w:p>
    <w:p w14:paraId="76047ED1" w14:textId="15CB88A5" w:rsidR="0082654B" w:rsidRPr="00A10E97" w:rsidRDefault="00C772AD" w:rsidP="008E366F">
      <w:pPr>
        <w:jc w:val="center"/>
        <w:rPr>
          <w:b/>
          <w:bCs/>
          <w:color w:val="FF7C80"/>
          <w:sz w:val="28"/>
          <w:szCs w:val="28"/>
          <w:u w:val="single"/>
        </w:rPr>
      </w:pPr>
      <w:r w:rsidRPr="00A10E97">
        <w:rPr>
          <w:b/>
          <w:bCs/>
          <w:color w:val="FF7C80"/>
          <w:sz w:val="28"/>
          <w:szCs w:val="28"/>
          <w:u w:val="single"/>
        </w:rPr>
        <w:t>Gender Pay Gap Report 202</w:t>
      </w:r>
      <w:r w:rsidR="00691D81">
        <w:rPr>
          <w:b/>
          <w:bCs/>
          <w:color w:val="FF7C80"/>
          <w:sz w:val="28"/>
          <w:szCs w:val="28"/>
          <w:u w:val="single"/>
        </w:rPr>
        <w:t>5</w:t>
      </w:r>
    </w:p>
    <w:p w14:paraId="0A2C0BD3" w14:textId="6C2D8031" w:rsidR="00C772AD" w:rsidRDefault="00C772AD">
      <w:r>
        <w:t xml:space="preserve">UK employers with more than 250 employees are required to publish their gender pay gap, showing differences in average pay between their </w:t>
      </w:r>
      <w:r w:rsidR="0082654B">
        <w:t xml:space="preserve">female and male </w:t>
      </w:r>
      <w:r>
        <w:t>employees</w:t>
      </w:r>
      <w:r w:rsidR="00660BC6">
        <w:t xml:space="preserve"> based on a snapshot date of 5</w:t>
      </w:r>
      <w:r w:rsidR="00660BC6" w:rsidRPr="00660BC6">
        <w:rPr>
          <w:vertAlign w:val="superscript"/>
        </w:rPr>
        <w:t>th</w:t>
      </w:r>
      <w:r w:rsidR="00660BC6">
        <w:t xml:space="preserve"> April</w:t>
      </w:r>
      <w:r>
        <w:t>.</w:t>
      </w:r>
    </w:p>
    <w:p w14:paraId="5DD60D71" w14:textId="0E6E169E" w:rsidR="00C772AD" w:rsidRPr="00D845A9" w:rsidRDefault="00F64E28">
      <w:pPr>
        <w:rPr>
          <w:b/>
          <w:bCs/>
          <w:color w:val="FF7C80"/>
          <w:sz w:val="24"/>
          <w:szCs w:val="24"/>
        </w:rPr>
      </w:pPr>
      <w:r w:rsidRPr="00D845A9">
        <w:rPr>
          <w:b/>
          <w:bCs/>
          <w:color w:val="FF7C80"/>
          <w:sz w:val="24"/>
          <w:szCs w:val="24"/>
        </w:rPr>
        <w:t>G</w:t>
      </w:r>
      <w:r w:rsidR="00C772AD" w:rsidRPr="00D845A9">
        <w:rPr>
          <w:b/>
          <w:bCs/>
          <w:color w:val="FF7C80"/>
          <w:sz w:val="24"/>
          <w:szCs w:val="24"/>
        </w:rPr>
        <w:t xml:space="preserve">ender </w:t>
      </w:r>
      <w:r w:rsidR="00775C0C">
        <w:rPr>
          <w:b/>
          <w:bCs/>
          <w:color w:val="FF7C80"/>
          <w:sz w:val="24"/>
          <w:szCs w:val="24"/>
        </w:rPr>
        <w:t>p</w:t>
      </w:r>
      <w:r w:rsidR="00C772AD" w:rsidRPr="00D845A9">
        <w:rPr>
          <w:b/>
          <w:bCs/>
          <w:color w:val="FF7C80"/>
          <w:sz w:val="24"/>
          <w:szCs w:val="24"/>
        </w:rPr>
        <w:t>ay</w:t>
      </w:r>
      <w:r w:rsidRPr="00D845A9">
        <w:rPr>
          <w:b/>
          <w:bCs/>
          <w:color w:val="FF7C80"/>
          <w:sz w:val="24"/>
          <w:szCs w:val="24"/>
        </w:rPr>
        <w:t xml:space="preserve"> gap</w:t>
      </w:r>
      <w:r w:rsidR="00C772AD" w:rsidRPr="00D845A9">
        <w:rPr>
          <w:b/>
          <w:bCs/>
          <w:color w:val="FF7C80"/>
          <w:sz w:val="24"/>
          <w:szCs w:val="24"/>
        </w:rPr>
        <w:t xml:space="preserve"> </w:t>
      </w:r>
    </w:p>
    <w:p w14:paraId="3AF70A54" w14:textId="1DC16219" w:rsidR="00605ABA" w:rsidRDefault="005C4053" w:rsidP="00605ABA">
      <w:r>
        <w:t xml:space="preserve">We are proud that Borough Care continues to have a significantly lower </w:t>
      </w:r>
      <w:r w:rsidR="00CF4709">
        <w:t xml:space="preserve">gender pay gap </w:t>
      </w:r>
      <w:r>
        <w:t>than the UK average</w:t>
      </w:r>
      <w:r w:rsidR="009363D9">
        <w:t xml:space="preserve"> and </w:t>
      </w:r>
      <w:r w:rsidR="000E1283">
        <w:t xml:space="preserve">that our </w:t>
      </w:r>
      <w:r w:rsidR="00605ABA">
        <w:t xml:space="preserve">mean gender pay gap </w:t>
      </w:r>
      <w:r w:rsidR="000E1283">
        <w:t xml:space="preserve">has </w:t>
      </w:r>
      <w:r w:rsidR="00605ABA">
        <w:t>narrow</w:t>
      </w:r>
      <w:r w:rsidR="000E1283">
        <w:t>ed</w:t>
      </w:r>
      <w:r w:rsidR="00605ABA">
        <w:t xml:space="preserve"> for the fourth consecutive year.</w:t>
      </w:r>
    </w:p>
    <w:p w14:paraId="43206F58" w14:textId="227FAC92" w:rsidR="00E375CB" w:rsidRDefault="00E375CB">
      <w:r>
        <w:t xml:space="preserve">Based on the </w:t>
      </w:r>
      <w:r w:rsidR="00C4356B">
        <w:t>G</w:t>
      </w:r>
      <w:r>
        <w:t>overnment</w:t>
      </w:r>
      <w:r w:rsidR="00C4356B">
        <w:t>’</w:t>
      </w:r>
      <w:r>
        <w:t>s methodology</w:t>
      </w:r>
      <w:r w:rsidR="00660BC6">
        <w:t xml:space="preserve">, Borough Care </w:t>
      </w:r>
      <w:r>
        <w:t xml:space="preserve">had </w:t>
      </w:r>
      <w:r w:rsidR="004F605B">
        <w:t xml:space="preserve">a </w:t>
      </w:r>
      <w:r w:rsidR="0059448A">
        <w:t xml:space="preserve">median gender pay gap of </w:t>
      </w:r>
      <w:r w:rsidR="00BC5825">
        <w:t>4</w:t>
      </w:r>
      <w:r w:rsidR="00F00C64">
        <w:t>.</w:t>
      </w:r>
      <w:r w:rsidR="00F359EC">
        <w:t>6</w:t>
      </w:r>
      <w:r w:rsidR="00C4356B">
        <w:t>%</w:t>
      </w:r>
      <w:r w:rsidR="0059448A">
        <w:t xml:space="preserve"> </w:t>
      </w:r>
      <w:r w:rsidR="00C4356B">
        <w:t xml:space="preserve">and a mean gender pay gap of </w:t>
      </w:r>
      <w:r w:rsidR="00777D89">
        <w:t>4</w:t>
      </w:r>
      <w:r w:rsidR="00F00C64">
        <w:t>.</w:t>
      </w:r>
      <w:r w:rsidR="00777D89">
        <w:t>8</w:t>
      </w:r>
      <w:r w:rsidR="00D22C45">
        <w:t>%</w:t>
      </w:r>
      <w:r w:rsidR="00071284">
        <w:t xml:space="preserve">.  This is a </w:t>
      </w:r>
      <w:r w:rsidR="00777D89">
        <w:t>2</w:t>
      </w:r>
      <w:r w:rsidR="00071284">
        <w:t>.</w:t>
      </w:r>
      <w:r w:rsidR="00777D89">
        <w:t>2</w:t>
      </w:r>
      <w:r w:rsidR="00071284">
        <w:t xml:space="preserve">% reduction in </w:t>
      </w:r>
      <w:r w:rsidR="00A4508C">
        <w:t>the</w:t>
      </w:r>
      <w:r w:rsidR="00071284">
        <w:t xml:space="preserve"> mean gender pay gap when compared to last year.</w:t>
      </w:r>
      <w:r w:rsidR="00661C78">
        <w:t xml:space="preserve">  </w:t>
      </w:r>
    </w:p>
    <w:p w14:paraId="585AEE7F" w14:textId="4D358B97" w:rsidR="00C772AD" w:rsidRDefault="00C772AD">
      <w:r>
        <w:t xml:space="preserve">The information below shows our median and mean hourly </w:t>
      </w:r>
      <w:r w:rsidR="00236D5B">
        <w:t xml:space="preserve">pay </w:t>
      </w:r>
      <w:r>
        <w:t xml:space="preserve">rates </w:t>
      </w:r>
      <w:r w:rsidR="00C4356B">
        <w:t>by gender:</w:t>
      </w:r>
    </w:p>
    <w:p w14:paraId="0D613F2D" w14:textId="773BE476" w:rsidR="005B0116" w:rsidRDefault="00661F2A" w:rsidP="005B0116">
      <w:pPr>
        <w:jc w:val="center"/>
      </w:pPr>
      <w:r>
        <w:rPr>
          <w:noProof/>
        </w:rPr>
        <w:drawing>
          <wp:inline distT="0" distB="0" distL="0" distR="0" wp14:anchorId="4FB87309" wp14:editId="7221F6F5">
            <wp:extent cx="4572000" cy="2743200"/>
            <wp:effectExtent l="0" t="0" r="0" b="0"/>
            <wp:docPr id="1139846289" name="Chart 1">
              <a:extLst xmlns:a="http://schemas.openxmlformats.org/drawingml/2006/main">
                <a:ext uri="{FF2B5EF4-FFF2-40B4-BE49-F238E27FC236}">
                  <a16:creationId xmlns:a16="http://schemas.microsoft.com/office/drawing/2014/main" id="{78FF9346-9277-0513-4BE9-3AF73A0F43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5A475D8B" w14:textId="0CA8349A" w:rsidR="0082654B" w:rsidRDefault="00195315" w:rsidP="0082654B">
      <w:r>
        <w:t xml:space="preserve">Gender is never </w:t>
      </w:r>
      <w:r w:rsidR="00CA7C0C">
        <w:t xml:space="preserve">a factor in deciding pay at Borough Care.  </w:t>
      </w:r>
      <w:r w:rsidR="00D845A9">
        <w:t xml:space="preserve">It is important to recognise that the </w:t>
      </w:r>
      <w:r w:rsidR="00E52456">
        <w:t>4</w:t>
      </w:r>
      <w:r w:rsidR="00D845A9">
        <w:t>.</w:t>
      </w:r>
      <w:r w:rsidR="00E52456">
        <w:t>8</w:t>
      </w:r>
      <w:r w:rsidR="00D845A9">
        <w:t>% mean gender pay gap is not the same as saying women and men are being paid differently for doing the same job</w:t>
      </w:r>
      <w:r w:rsidR="0082654B">
        <w:t>. We are confident that men and women are paid equally for doing equivalent jobs across our organisation and that the pay gap is related to people carrying out different roles.</w:t>
      </w:r>
    </w:p>
    <w:p w14:paraId="6DB31DB2" w14:textId="094B745B" w:rsidR="00F64E28" w:rsidRPr="00D845A9" w:rsidRDefault="003F4C8A" w:rsidP="00F64E28">
      <w:pPr>
        <w:rPr>
          <w:b/>
          <w:bCs/>
          <w:color w:val="FF7C80"/>
          <w:sz w:val="24"/>
          <w:szCs w:val="24"/>
        </w:rPr>
      </w:pPr>
      <w:r>
        <w:rPr>
          <w:b/>
          <w:bCs/>
          <w:color w:val="FF7C80"/>
          <w:sz w:val="24"/>
          <w:szCs w:val="24"/>
        </w:rPr>
        <w:t>Ge</w:t>
      </w:r>
      <w:r w:rsidR="00F64E28" w:rsidRPr="00D845A9">
        <w:rPr>
          <w:b/>
          <w:bCs/>
          <w:color w:val="FF7C80"/>
          <w:sz w:val="24"/>
          <w:szCs w:val="24"/>
        </w:rPr>
        <w:t xml:space="preserve">nder </w:t>
      </w:r>
      <w:r>
        <w:rPr>
          <w:b/>
          <w:bCs/>
          <w:color w:val="FF7C80"/>
          <w:sz w:val="24"/>
          <w:szCs w:val="24"/>
        </w:rPr>
        <w:t xml:space="preserve">bonus </w:t>
      </w:r>
      <w:r w:rsidR="00775C0C">
        <w:rPr>
          <w:b/>
          <w:bCs/>
          <w:color w:val="FF7C80"/>
          <w:sz w:val="24"/>
          <w:szCs w:val="24"/>
        </w:rPr>
        <w:t>p</w:t>
      </w:r>
      <w:r w:rsidR="00F64E28" w:rsidRPr="00D845A9">
        <w:rPr>
          <w:b/>
          <w:bCs/>
          <w:color w:val="FF7C80"/>
          <w:sz w:val="24"/>
          <w:szCs w:val="24"/>
        </w:rPr>
        <w:t xml:space="preserve">ay </w:t>
      </w:r>
      <w:r w:rsidR="00775C0C">
        <w:rPr>
          <w:b/>
          <w:bCs/>
          <w:color w:val="FF7C80"/>
          <w:sz w:val="24"/>
          <w:szCs w:val="24"/>
        </w:rPr>
        <w:t>g</w:t>
      </w:r>
      <w:r w:rsidR="00F64E28" w:rsidRPr="00D845A9">
        <w:rPr>
          <w:b/>
          <w:bCs/>
          <w:color w:val="FF7C80"/>
          <w:sz w:val="24"/>
          <w:szCs w:val="24"/>
        </w:rPr>
        <w:t>ap</w:t>
      </w:r>
    </w:p>
    <w:p w14:paraId="66646551" w14:textId="619AF471" w:rsidR="00660BC6" w:rsidRDefault="00031657" w:rsidP="00660BC6">
      <w:r>
        <w:t xml:space="preserve">Bonus payments are not a standard part of the </w:t>
      </w:r>
      <w:r w:rsidR="00C57607">
        <w:t>pay package for most employees</w:t>
      </w:r>
      <w:r w:rsidR="00735A7F">
        <w:t>.</w:t>
      </w:r>
      <w:r w:rsidR="00FD5CB2">
        <w:t xml:space="preserve">  O</w:t>
      </w:r>
      <w:r w:rsidR="00A035F5">
        <w:t xml:space="preserve">nly </w:t>
      </w:r>
      <w:r w:rsidR="004C6796">
        <w:t>1</w:t>
      </w:r>
      <w:r w:rsidR="00D86180">
        <w:t>.</w:t>
      </w:r>
      <w:r w:rsidR="004C6796">
        <w:t>0</w:t>
      </w:r>
      <w:r w:rsidR="00660BC6">
        <w:t xml:space="preserve">% of females and </w:t>
      </w:r>
      <w:r w:rsidR="004C6796">
        <w:t>0</w:t>
      </w:r>
      <w:r w:rsidR="007028FC">
        <w:t>.</w:t>
      </w:r>
      <w:r w:rsidR="004C6796">
        <w:t>8</w:t>
      </w:r>
      <w:r w:rsidR="00660BC6">
        <w:t>% of males</w:t>
      </w:r>
      <w:r w:rsidR="0082654B">
        <w:t xml:space="preserve"> </w:t>
      </w:r>
      <w:r w:rsidR="00F45EC6">
        <w:t>in Borough Care</w:t>
      </w:r>
      <w:r w:rsidR="00660BC6">
        <w:t xml:space="preserve"> received</w:t>
      </w:r>
      <w:r w:rsidR="00F45EC6">
        <w:t xml:space="preserve"> any</w:t>
      </w:r>
      <w:r w:rsidR="00660BC6">
        <w:t xml:space="preserve"> bonus pay. </w:t>
      </w:r>
      <w:r w:rsidR="00E242FA">
        <w:t>For bonus pay,</w:t>
      </w:r>
      <w:r w:rsidR="00A931BE">
        <w:t xml:space="preserve"> </w:t>
      </w:r>
      <w:r w:rsidR="00E242FA">
        <w:t>t</w:t>
      </w:r>
      <w:r w:rsidR="00660BC6">
        <w:t xml:space="preserve">he median </w:t>
      </w:r>
      <w:r w:rsidR="006A6467">
        <w:t>gender pay gap was 0.0%</w:t>
      </w:r>
      <w:r w:rsidR="00D26592">
        <w:t xml:space="preserve"> </w:t>
      </w:r>
      <w:r w:rsidR="00623A95">
        <w:t xml:space="preserve">and </w:t>
      </w:r>
      <w:r w:rsidR="00815746">
        <w:t xml:space="preserve">the </w:t>
      </w:r>
      <w:r w:rsidR="00623A95">
        <w:t xml:space="preserve">mean </w:t>
      </w:r>
      <w:r w:rsidR="00660BC6">
        <w:t xml:space="preserve">gender pay gap was </w:t>
      </w:r>
      <w:r w:rsidR="00A931BE">
        <w:t>-91</w:t>
      </w:r>
      <w:r w:rsidR="00BE323B">
        <w:t>.7</w:t>
      </w:r>
      <w:r w:rsidR="00660BC6">
        <w:t>%.</w:t>
      </w:r>
      <w:r w:rsidR="00104DC9">
        <w:t xml:space="preserve">  </w:t>
      </w:r>
      <w:r w:rsidR="00741681">
        <w:t xml:space="preserve">This negative bonus pay gap reflects that women </w:t>
      </w:r>
      <w:r w:rsidR="00815746">
        <w:t xml:space="preserve">have received more </w:t>
      </w:r>
      <w:r w:rsidR="008D0603">
        <w:t xml:space="preserve">in relation to </w:t>
      </w:r>
      <w:r w:rsidR="00815746">
        <w:t xml:space="preserve">bonus pay.  </w:t>
      </w:r>
      <w:r w:rsidR="00104DC9">
        <w:t>The reason for this is that one</w:t>
      </w:r>
      <w:r w:rsidR="00B569DA">
        <w:t xml:space="preserve"> </w:t>
      </w:r>
      <w:r w:rsidR="0058457E">
        <w:lastRenderedPageBreak/>
        <w:t xml:space="preserve">specific </w:t>
      </w:r>
      <w:r w:rsidR="00B569DA">
        <w:t xml:space="preserve">role </w:t>
      </w:r>
      <w:r w:rsidR="004E6855">
        <w:t>in</w:t>
      </w:r>
      <w:r w:rsidR="00B569DA">
        <w:t xml:space="preserve"> the organisation attracts</w:t>
      </w:r>
      <w:r w:rsidR="00E74C01">
        <w:t xml:space="preserve"> a different bonus structure to</w:t>
      </w:r>
      <w:r w:rsidR="00161750">
        <w:t xml:space="preserve"> any other</w:t>
      </w:r>
      <w:r w:rsidR="008D0603">
        <w:t xml:space="preserve"> as it is partly commission based.  T</w:t>
      </w:r>
      <w:r w:rsidR="00161750">
        <w:t xml:space="preserve">his role is currently held by a </w:t>
      </w:r>
      <w:r w:rsidR="00176783">
        <w:t>female</w:t>
      </w:r>
      <w:r w:rsidR="0058457E">
        <w:t xml:space="preserve"> staff member</w:t>
      </w:r>
      <w:r w:rsidR="00161750">
        <w:t>.</w:t>
      </w:r>
      <w:r w:rsidR="00DC1292">
        <w:t xml:space="preserve"> </w:t>
      </w:r>
    </w:p>
    <w:p w14:paraId="41831C76" w14:textId="28CA9862" w:rsidR="00C772AD" w:rsidRPr="00D845A9" w:rsidRDefault="00E375CB">
      <w:pPr>
        <w:rPr>
          <w:b/>
          <w:bCs/>
          <w:color w:val="FF7C80"/>
          <w:sz w:val="24"/>
          <w:szCs w:val="24"/>
        </w:rPr>
      </w:pPr>
      <w:r w:rsidRPr="00D845A9">
        <w:rPr>
          <w:b/>
          <w:bCs/>
          <w:color w:val="FF7C80"/>
          <w:sz w:val="24"/>
          <w:szCs w:val="24"/>
        </w:rPr>
        <w:t>Proportion of males and females in each pay Quartile</w:t>
      </w:r>
    </w:p>
    <w:p w14:paraId="46320A61" w14:textId="54DE971E" w:rsidR="00C600BC" w:rsidRDefault="00F64E28" w:rsidP="00C600BC">
      <w:r>
        <w:t xml:space="preserve">Borough Care’s workforce comprises significantly more female than male staff.  </w:t>
      </w:r>
      <w:r w:rsidR="00C600BC">
        <w:t xml:space="preserve">This profile reflects the nature of the wider social care sector.  </w:t>
      </w:r>
    </w:p>
    <w:p w14:paraId="2DF6515E" w14:textId="08C4F56C" w:rsidR="00E375CB" w:rsidRDefault="00E375CB">
      <w:r>
        <w:t xml:space="preserve">The information below shows the quartile split </w:t>
      </w:r>
      <w:r w:rsidR="00C4356B">
        <w:t xml:space="preserve">of our workforce </w:t>
      </w:r>
      <w:r>
        <w:t>by gender</w:t>
      </w:r>
      <w:r w:rsidR="00C4356B">
        <w:t>:</w:t>
      </w:r>
    </w:p>
    <w:p w14:paraId="6D270127" w14:textId="4350F54A" w:rsidR="00F62133" w:rsidRDefault="00053B57" w:rsidP="00F62133">
      <w:pPr>
        <w:jc w:val="center"/>
      </w:pPr>
      <w:r>
        <w:rPr>
          <w:noProof/>
        </w:rPr>
        <w:drawing>
          <wp:inline distT="0" distB="0" distL="0" distR="0" wp14:anchorId="13DEDD92" wp14:editId="67E6DAAA">
            <wp:extent cx="4572000" cy="2743200"/>
            <wp:effectExtent l="0" t="0" r="0" b="0"/>
            <wp:docPr id="1586895909" name="Chart 1">
              <a:extLst xmlns:a="http://schemas.openxmlformats.org/drawingml/2006/main">
                <a:ext uri="{FF2B5EF4-FFF2-40B4-BE49-F238E27FC236}">
                  <a16:creationId xmlns:a16="http://schemas.microsoft.com/office/drawing/2014/main" id="{C6F70DF1-85E3-A452-5382-F7F2840003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E5D402A" w14:textId="468F82F5" w:rsidR="007609F9" w:rsidRDefault="005B1C23" w:rsidP="00071284">
      <w:r>
        <w:t xml:space="preserve">At the reporting date, Borough Care </w:t>
      </w:r>
      <w:r w:rsidR="00886B11">
        <w:t xml:space="preserve">comprised of </w:t>
      </w:r>
      <w:r w:rsidR="00D443A6">
        <w:t>7</w:t>
      </w:r>
      <w:r w:rsidR="00205B31">
        <w:t>20</w:t>
      </w:r>
      <w:r>
        <w:t xml:space="preserve"> </w:t>
      </w:r>
      <w:r w:rsidR="00886B11">
        <w:t xml:space="preserve">permanent </w:t>
      </w:r>
      <w:r>
        <w:t>staff</w:t>
      </w:r>
      <w:r w:rsidR="00886B11">
        <w:t xml:space="preserve"> and casual workers</w:t>
      </w:r>
      <w:r>
        <w:t xml:space="preserve">, of which </w:t>
      </w:r>
      <w:r w:rsidR="00D443A6">
        <w:t>8</w:t>
      </w:r>
      <w:r w:rsidR="00015E6D">
        <w:t>2</w:t>
      </w:r>
      <w:r>
        <w:t xml:space="preserve">% were female and </w:t>
      </w:r>
      <w:r w:rsidR="00D443A6">
        <w:t>1</w:t>
      </w:r>
      <w:r w:rsidR="00015E6D">
        <w:t>8</w:t>
      </w:r>
      <w:r>
        <w:t xml:space="preserve">% were male. </w:t>
      </w:r>
    </w:p>
    <w:p w14:paraId="545646D4" w14:textId="298CD584" w:rsidR="00F64E28" w:rsidRPr="00F64E28" w:rsidRDefault="00F64E28">
      <w:pPr>
        <w:rPr>
          <w:b/>
          <w:bCs/>
          <w:color w:val="FF7C80"/>
        </w:rPr>
      </w:pPr>
      <w:r w:rsidRPr="00F64E28">
        <w:rPr>
          <w:b/>
          <w:bCs/>
          <w:color w:val="FF7C80"/>
        </w:rPr>
        <w:t>Addressing the gender pay gap</w:t>
      </w:r>
    </w:p>
    <w:p w14:paraId="454C2AF2" w14:textId="15FCD947" w:rsidR="00C52CCE" w:rsidRDefault="00C52CCE" w:rsidP="0082654B">
      <w:bookmarkStart w:id="0" w:name="_Hlk130227214"/>
      <w:r>
        <w:t xml:space="preserve">Tracking our pay gap data helps us </w:t>
      </w:r>
      <w:r w:rsidR="007B0935">
        <w:t xml:space="preserve">consider what actions we </w:t>
      </w:r>
      <w:r w:rsidR="00333C53">
        <w:t xml:space="preserve">can </w:t>
      </w:r>
      <w:r w:rsidR="007B0935">
        <w:t xml:space="preserve">take and evaluate their impact.  </w:t>
      </w:r>
    </w:p>
    <w:p w14:paraId="6C67566E" w14:textId="77777777" w:rsidR="00F52BE5" w:rsidRDefault="008D1BAE" w:rsidP="00B403F7">
      <w:r>
        <w:t xml:space="preserve">We are confident that our gender pay gap is not because we pay men and women differently for the same or equivalent work.  Instead, our gender pay gap is because men and women work in </w:t>
      </w:r>
      <w:r w:rsidR="00F52BE5">
        <w:t>different roles and those roles have different salaries.</w:t>
      </w:r>
    </w:p>
    <w:p w14:paraId="604A3116" w14:textId="1F96DAC1" w:rsidR="00431F21" w:rsidRDefault="00DE24B6" w:rsidP="00B403F7">
      <w:r>
        <w:t>Borough Care believes in being an inclusive and diverse organisation where everyone has the opportunity to reach their full potential. This is reflected with</w:t>
      </w:r>
      <w:r w:rsidR="006C0F45">
        <w:t xml:space="preserve"> 85% of </w:t>
      </w:r>
      <w:r w:rsidR="006C433E">
        <w:t xml:space="preserve">the </w:t>
      </w:r>
      <w:r w:rsidR="00516F19">
        <w:t>those in management positions</w:t>
      </w:r>
      <w:r w:rsidR="006C433E">
        <w:t xml:space="preserve"> being female</w:t>
      </w:r>
      <w:r w:rsidR="00331A1B">
        <w:t xml:space="preserve"> and 67% of our Board members being female.</w:t>
      </w:r>
      <w:r w:rsidR="006C433E">
        <w:t xml:space="preserve"> </w:t>
      </w:r>
    </w:p>
    <w:p w14:paraId="042BEB6F" w14:textId="77777777" w:rsidR="00331A1B" w:rsidRDefault="00B403F7" w:rsidP="001C6EB8">
      <w:r>
        <w:t>We have however</w:t>
      </w:r>
      <w:r w:rsidR="00E3402E">
        <w:t xml:space="preserve"> </w:t>
      </w:r>
      <w:r>
        <w:t xml:space="preserve">identified that </w:t>
      </w:r>
      <w:r w:rsidR="00E3402E">
        <w:t>there is</w:t>
      </w:r>
      <w:r>
        <w:t xml:space="preserve"> </w:t>
      </w:r>
      <w:r w:rsidR="001C6EB8">
        <w:t>a</w:t>
      </w:r>
      <w:r>
        <w:t xml:space="preserve"> higher percentage of males in our upper quartile</w:t>
      </w:r>
      <w:r w:rsidR="00707DFE">
        <w:t xml:space="preserve"> which is </w:t>
      </w:r>
      <w:r w:rsidR="008A03D6">
        <w:t>primarily</w:t>
      </w:r>
      <w:r>
        <w:t xml:space="preserve"> due to 23% of our Senior Care Assistants being male compared to 18% of our overall organisation being male.</w:t>
      </w:r>
      <w:r w:rsidR="00707DFE">
        <w:t xml:space="preserve">  </w:t>
      </w:r>
    </w:p>
    <w:p w14:paraId="0DB62EBC" w14:textId="1E2932E1" w:rsidR="001C6EB8" w:rsidRDefault="00EC2DE2" w:rsidP="001C6EB8">
      <w:r>
        <w:t>We are committed to</w:t>
      </w:r>
      <w:r w:rsidR="00821E5B">
        <w:t xml:space="preserve"> doing everything we can to reduce th</w:t>
      </w:r>
      <w:r w:rsidR="00F54C5F">
        <w:t>is</w:t>
      </w:r>
      <w:r w:rsidR="00821E5B">
        <w:t xml:space="preserve"> gap</w:t>
      </w:r>
      <w:r w:rsidR="00A434B4">
        <w:t>.</w:t>
      </w:r>
      <w:r w:rsidR="00331A1B">
        <w:t xml:space="preserve">  </w:t>
      </w:r>
      <w:r w:rsidR="001C6EB8">
        <w:t>To address this</w:t>
      </w:r>
      <w:r w:rsidR="008D1408">
        <w:t>,</w:t>
      </w:r>
      <w:r w:rsidR="001C6EB8">
        <w:t xml:space="preserve"> we are</w:t>
      </w:r>
      <w:r w:rsidR="00A434B4">
        <w:t xml:space="preserve"> </w:t>
      </w:r>
      <w:r w:rsidR="001C6EB8">
        <w:t>embedding a thorough and objective approach to succession and talent planning and pr</w:t>
      </w:r>
      <w:r w:rsidR="00F25618">
        <w:t xml:space="preserve">omoting the </w:t>
      </w:r>
      <w:r w:rsidR="001C6EB8">
        <w:t>opportunity for all to be involved in our ‘Aspiring Senior Care Assistant’ development programme.</w:t>
      </w:r>
    </w:p>
    <w:p w14:paraId="42445D40" w14:textId="1A513718" w:rsidR="00BA37EA" w:rsidRDefault="00BA37EA" w:rsidP="001C6EB8">
      <w:r>
        <w:t xml:space="preserve">We have introduced a menopause policy outlining the rights </w:t>
      </w:r>
      <w:r w:rsidR="00585DC1">
        <w:t xml:space="preserve">of employees experiencing </w:t>
      </w:r>
      <w:r w:rsidR="003F3306">
        <w:t>menopausal symptoms and explaining the support available to them.</w:t>
      </w:r>
    </w:p>
    <w:p w14:paraId="393AF9C0" w14:textId="77777777" w:rsidR="0055725D" w:rsidRDefault="00493205" w:rsidP="00493205">
      <w:r>
        <w:lastRenderedPageBreak/>
        <w:t xml:space="preserve">We will continue to review our recruitment </w:t>
      </w:r>
      <w:r w:rsidR="00350D0C">
        <w:t xml:space="preserve">and promotion </w:t>
      </w:r>
      <w:r>
        <w:t>practices to aim to attract more diverse applicants to our sector</w:t>
      </w:r>
      <w:r w:rsidR="00350D0C">
        <w:t xml:space="preserve"> across all pay quartiles</w:t>
      </w:r>
      <w:r>
        <w:t xml:space="preserve">. </w:t>
      </w:r>
    </w:p>
    <w:p w14:paraId="7F38BB06" w14:textId="2A4BCE6D" w:rsidR="00493205" w:rsidRDefault="00493205" w:rsidP="00493205">
      <w:r>
        <w:t>We will also continue to support flexible working practices</w:t>
      </w:r>
      <w:r w:rsidR="00F10169">
        <w:t xml:space="preserve"> and the health and wellbeing of</w:t>
      </w:r>
      <w:r w:rsidR="007A0BDE">
        <w:t xml:space="preserve"> our colleagues.  </w:t>
      </w:r>
    </w:p>
    <w:bookmarkEnd w:id="0"/>
    <w:p w14:paraId="75D32722" w14:textId="71FA9757" w:rsidR="00E125CD" w:rsidRDefault="00E125CD" w:rsidP="00D845A9">
      <w:r>
        <w:t xml:space="preserve">We </w:t>
      </w:r>
      <w:r w:rsidR="00493205">
        <w:t xml:space="preserve">are also proud </w:t>
      </w:r>
      <w:r>
        <w:t xml:space="preserve">to be a </w:t>
      </w:r>
      <w:r w:rsidR="0082654B">
        <w:t>R</w:t>
      </w:r>
      <w:r>
        <w:t xml:space="preserve">eal </w:t>
      </w:r>
      <w:r w:rsidR="0082654B">
        <w:t>L</w:t>
      </w:r>
      <w:r>
        <w:t xml:space="preserve">iving </w:t>
      </w:r>
      <w:r w:rsidR="0082654B">
        <w:t>W</w:t>
      </w:r>
      <w:r>
        <w:t>age employer, ensuring that all our staff, regardless of gender or role are paid at least £</w:t>
      </w:r>
      <w:r w:rsidR="0080361F">
        <w:t>1</w:t>
      </w:r>
      <w:r w:rsidR="00B04FEA">
        <w:t>2</w:t>
      </w:r>
      <w:r>
        <w:t>.</w:t>
      </w:r>
      <w:r w:rsidR="00D8254C">
        <w:t>6</w:t>
      </w:r>
      <w:r>
        <w:t>0 per hour, increasing to £</w:t>
      </w:r>
      <w:r w:rsidR="00350D0C">
        <w:t>1</w:t>
      </w:r>
      <w:r w:rsidR="000C165C">
        <w:t xml:space="preserve">3.45 </w:t>
      </w:r>
      <w:r>
        <w:t>per hour</w:t>
      </w:r>
      <w:r w:rsidR="0082654B">
        <w:t xml:space="preserve"> in 202</w:t>
      </w:r>
      <w:r w:rsidR="000C165C">
        <w:t>6</w:t>
      </w:r>
      <w:r>
        <w:t>.</w:t>
      </w:r>
    </w:p>
    <w:p w14:paraId="2617CFB4" w14:textId="7AC50EE2" w:rsidR="008E366F" w:rsidRDefault="008E366F" w:rsidP="008E366F">
      <w:r>
        <w:t>I confirm that the data reported is accurate.</w:t>
      </w:r>
    </w:p>
    <w:p w14:paraId="41C24A6D" w14:textId="77777777" w:rsidR="00461515" w:rsidRDefault="00461515" w:rsidP="008E366F">
      <w:pPr>
        <w:spacing w:after="0"/>
      </w:pPr>
    </w:p>
    <w:p w14:paraId="114A4E16" w14:textId="77777777" w:rsidR="00461515" w:rsidRDefault="00461515" w:rsidP="008E366F">
      <w:pPr>
        <w:spacing w:after="0"/>
      </w:pPr>
    </w:p>
    <w:p w14:paraId="11AEC82E" w14:textId="4F03003C" w:rsidR="008E366F" w:rsidRDefault="00461515" w:rsidP="008E366F">
      <w:pPr>
        <w:spacing w:after="0"/>
      </w:pPr>
      <w:r>
        <w:t>Robert Jackson</w:t>
      </w:r>
    </w:p>
    <w:p w14:paraId="68906620" w14:textId="70E1BAB6" w:rsidR="008E366F" w:rsidRPr="00C772AD" w:rsidRDefault="008E366F" w:rsidP="00704BA0">
      <w:pPr>
        <w:spacing w:after="0"/>
      </w:pPr>
      <w:r>
        <w:t xml:space="preserve">Borough Care Chief Executive </w:t>
      </w:r>
      <w:r w:rsidR="00461515">
        <w:t>Officer</w:t>
      </w:r>
    </w:p>
    <w:sectPr w:rsidR="008E366F" w:rsidRPr="00C772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2AD"/>
    <w:rsid w:val="0000798D"/>
    <w:rsid w:val="00015E6D"/>
    <w:rsid w:val="00031657"/>
    <w:rsid w:val="00053B57"/>
    <w:rsid w:val="00071284"/>
    <w:rsid w:val="00090FE4"/>
    <w:rsid w:val="000A75C0"/>
    <w:rsid w:val="000C165C"/>
    <w:rsid w:val="000E1283"/>
    <w:rsid w:val="000E449A"/>
    <w:rsid w:val="000F085A"/>
    <w:rsid w:val="000F3288"/>
    <w:rsid w:val="00104DC9"/>
    <w:rsid w:val="0015623D"/>
    <w:rsid w:val="00161750"/>
    <w:rsid w:val="00176783"/>
    <w:rsid w:val="00187AAA"/>
    <w:rsid w:val="00191FBF"/>
    <w:rsid w:val="00195315"/>
    <w:rsid w:val="001C6EB8"/>
    <w:rsid w:val="001D796E"/>
    <w:rsid w:val="001F4215"/>
    <w:rsid w:val="001F5BD2"/>
    <w:rsid w:val="002046A6"/>
    <w:rsid w:val="00205B31"/>
    <w:rsid w:val="00236D5B"/>
    <w:rsid w:val="0027213C"/>
    <w:rsid w:val="002735EC"/>
    <w:rsid w:val="002C019E"/>
    <w:rsid w:val="002F21F7"/>
    <w:rsid w:val="00331A1B"/>
    <w:rsid w:val="00333C53"/>
    <w:rsid w:val="0034039A"/>
    <w:rsid w:val="00350D0C"/>
    <w:rsid w:val="003F3306"/>
    <w:rsid w:val="003F4C8A"/>
    <w:rsid w:val="00426431"/>
    <w:rsid w:val="00431F21"/>
    <w:rsid w:val="00435FD2"/>
    <w:rsid w:val="00461515"/>
    <w:rsid w:val="00464C3A"/>
    <w:rsid w:val="00470362"/>
    <w:rsid w:val="00483909"/>
    <w:rsid w:val="00485F7A"/>
    <w:rsid w:val="00493205"/>
    <w:rsid w:val="00496430"/>
    <w:rsid w:val="004C6796"/>
    <w:rsid w:val="004D1689"/>
    <w:rsid w:val="004E6855"/>
    <w:rsid w:val="004F605B"/>
    <w:rsid w:val="00516F19"/>
    <w:rsid w:val="005203DF"/>
    <w:rsid w:val="00524887"/>
    <w:rsid w:val="00551574"/>
    <w:rsid w:val="0055725D"/>
    <w:rsid w:val="00560FEC"/>
    <w:rsid w:val="0058204A"/>
    <w:rsid w:val="0058457E"/>
    <w:rsid w:val="00585DC1"/>
    <w:rsid w:val="0059448A"/>
    <w:rsid w:val="005A3357"/>
    <w:rsid w:val="005B0116"/>
    <w:rsid w:val="005B1C23"/>
    <w:rsid w:val="005B56DA"/>
    <w:rsid w:val="005C05B6"/>
    <w:rsid w:val="005C4053"/>
    <w:rsid w:val="005E0E2B"/>
    <w:rsid w:val="005E16AA"/>
    <w:rsid w:val="005F1E22"/>
    <w:rsid w:val="005F77F1"/>
    <w:rsid w:val="00605ABA"/>
    <w:rsid w:val="00623A95"/>
    <w:rsid w:val="00660BC6"/>
    <w:rsid w:val="00661C78"/>
    <w:rsid w:val="00661F2A"/>
    <w:rsid w:val="006715CA"/>
    <w:rsid w:val="00691D81"/>
    <w:rsid w:val="00696087"/>
    <w:rsid w:val="006A09EC"/>
    <w:rsid w:val="006A6467"/>
    <w:rsid w:val="006B2116"/>
    <w:rsid w:val="006C0F45"/>
    <w:rsid w:val="006C433E"/>
    <w:rsid w:val="006D3B25"/>
    <w:rsid w:val="006F4F94"/>
    <w:rsid w:val="006F5713"/>
    <w:rsid w:val="007028FC"/>
    <w:rsid w:val="00704BA0"/>
    <w:rsid w:val="00704BDD"/>
    <w:rsid w:val="00707DFE"/>
    <w:rsid w:val="00735A7F"/>
    <w:rsid w:val="00741681"/>
    <w:rsid w:val="007609F9"/>
    <w:rsid w:val="007674A3"/>
    <w:rsid w:val="00772242"/>
    <w:rsid w:val="00775C0C"/>
    <w:rsid w:val="00777D89"/>
    <w:rsid w:val="007A0BDE"/>
    <w:rsid w:val="007B0935"/>
    <w:rsid w:val="007C67CF"/>
    <w:rsid w:val="007E2C6D"/>
    <w:rsid w:val="0080361F"/>
    <w:rsid w:val="00815746"/>
    <w:rsid w:val="00821E5B"/>
    <w:rsid w:val="0082654B"/>
    <w:rsid w:val="008667F2"/>
    <w:rsid w:val="00886B11"/>
    <w:rsid w:val="008A03D6"/>
    <w:rsid w:val="008A10D4"/>
    <w:rsid w:val="008C174D"/>
    <w:rsid w:val="008C2081"/>
    <w:rsid w:val="008D0603"/>
    <w:rsid w:val="008D1408"/>
    <w:rsid w:val="008D1BAE"/>
    <w:rsid w:val="008E366F"/>
    <w:rsid w:val="008E3999"/>
    <w:rsid w:val="008F65B2"/>
    <w:rsid w:val="009363D9"/>
    <w:rsid w:val="00942FFC"/>
    <w:rsid w:val="00A035F5"/>
    <w:rsid w:val="00A10E97"/>
    <w:rsid w:val="00A15F83"/>
    <w:rsid w:val="00A16375"/>
    <w:rsid w:val="00A41A58"/>
    <w:rsid w:val="00A434B4"/>
    <w:rsid w:val="00A44B8D"/>
    <w:rsid w:val="00A4508C"/>
    <w:rsid w:val="00A669ED"/>
    <w:rsid w:val="00A82C62"/>
    <w:rsid w:val="00A837AF"/>
    <w:rsid w:val="00A931BE"/>
    <w:rsid w:val="00A9322A"/>
    <w:rsid w:val="00AB3AE7"/>
    <w:rsid w:val="00AC0208"/>
    <w:rsid w:val="00AF1122"/>
    <w:rsid w:val="00AF5509"/>
    <w:rsid w:val="00B04FEA"/>
    <w:rsid w:val="00B14956"/>
    <w:rsid w:val="00B403F7"/>
    <w:rsid w:val="00B569DA"/>
    <w:rsid w:val="00B87C55"/>
    <w:rsid w:val="00BA37EA"/>
    <w:rsid w:val="00BC5825"/>
    <w:rsid w:val="00BC79EB"/>
    <w:rsid w:val="00BE323B"/>
    <w:rsid w:val="00C034D9"/>
    <w:rsid w:val="00C10B59"/>
    <w:rsid w:val="00C13A9F"/>
    <w:rsid w:val="00C15D35"/>
    <w:rsid w:val="00C204EF"/>
    <w:rsid w:val="00C22402"/>
    <w:rsid w:val="00C411B8"/>
    <w:rsid w:val="00C4356B"/>
    <w:rsid w:val="00C52CCE"/>
    <w:rsid w:val="00C57607"/>
    <w:rsid w:val="00C600BC"/>
    <w:rsid w:val="00C772AD"/>
    <w:rsid w:val="00C917B6"/>
    <w:rsid w:val="00CA7C0C"/>
    <w:rsid w:val="00CF2A09"/>
    <w:rsid w:val="00CF4709"/>
    <w:rsid w:val="00CF52A4"/>
    <w:rsid w:val="00D02EAE"/>
    <w:rsid w:val="00D04E96"/>
    <w:rsid w:val="00D22C45"/>
    <w:rsid w:val="00D26592"/>
    <w:rsid w:val="00D443A6"/>
    <w:rsid w:val="00D55011"/>
    <w:rsid w:val="00D570E4"/>
    <w:rsid w:val="00D8254C"/>
    <w:rsid w:val="00D83CC3"/>
    <w:rsid w:val="00D845A9"/>
    <w:rsid w:val="00D86180"/>
    <w:rsid w:val="00DC1292"/>
    <w:rsid w:val="00DC68E7"/>
    <w:rsid w:val="00DD1767"/>
    <w:rsid w:val="00DE24B6"/>
    <w:rsid w:val="00DE4A1E"/>
    <w:rsid w:val="00E125CD"/>
    <w:rsid w:val="00E242FA"/>
    <w:rsid w:val="00E31ACA"/>
    <w:rsid w:val="00E3402E"/>
    <w:rsid w:val="00E375CB"/>
    <w:rsid w:val="00E52456"/>
    <w:rsid w:val="00E63691"/>
    <w:rsid w:val="00E74C01"/>
    <w:rsid w:val="00EA788C"/>
    <w:rsid w:val="00EB58D8"/>
    <w:rsid w:val="00EC2DE2"/>
    <w:rsid w:val="00EC5427"/>
    <w:rsid w:val="00EC7AA9"/>
    <w:rsid w:val="00EE6AD8"/>
    <w:rsid w:val="00EF5BAA"/>
    <w:rsid w:val="00F00C64"/>
    <w:rsid w:val="00F10169"/>
    <w:rsid w:val="00F25618"/>
    <w:rsid w:val="00F359EC"/>
    <w:rsid w:val="00F45EC6"/>
    <w:rsid w:val="00F513CB"/>
    <w:rsid w:val="00F52BE5"/>
    <w:rsid w:val="00F54C5F"/>
    <w:rsid w:val="00F62133"/>
    <w:rsid w:val="00F64E28"/>
    <w:rsid w:val="00F67DA1"/>
    <w:rsid w:val="00F71730"/>
    <w:rsid w:val="00F85D17"/>
    <w:rsid w:val="00FB79D6"/>
    <w:rsid w:val="00FC3F69"/>
    <w:rsid w:val="00FD5CB2"/>
    <w:rsid w:val="00FE06A5"/>
    <w:rsid w:val="00FF11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918E8"/>
  <w15:chartTrackingRefBased/>
  <w15:docId w15:val="{5A2AE4DB-189A-4CF5-98EF-2A7D4F408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079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Pay</a:t>
            </a:r>
            <a:r>
              <a:rPr lang="en-GB" baseline="0"/>
              <a:t> Rates by Gender</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Calculations!$E$4</c:f>
              <c:strCache>
                <c:ptCount val="1"/>
                <c:pt idx="0">
                  <c:v>Female</c:v>
                </c:pt>
              </c:strCache>
            </c:strRef>
          </c:tx>
          <c:spPr>
            <a:solidFill>
              <a:srgbClr val="FF7C80"/>
            </a:solidFill>
            <a:ln>
              <a:noFill/>
            </a:ln>
            <a:effectLst/>
            <a:sp3d/>
          </c:spPr>
          <c:invertIfNegative val="0"/>
          <c:dLbls>
            <c:dLbl>
              <c:idx val="0"/>
              <c:layout>
                <c:manualLayout>
                  <c:x val="-5.0925337632079971E-17"/>
                  <c:y val="-5.09259259259260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93F-4813-BF96-C2A4B1111EE3}"/>
                </c:ext>
              </c:extLst>
            </c:dLbl>
            <c:dLbl>
              <c:idx val="1"/>
              <c:layout>
                <c:manualLayout>
                  <c:x val="0"/>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93F-4813-BF96-C2A4B1111EE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Calculations!$F$3:$G$3</c:f>
              <c:strCache>
                <c:ptCount val="2"/>
                <c:pt idx="0">
                  <c:v>Median Pay Rate</c:v>
                </c:pt>
                <c:pt idx="1">
                  <c:v>Mean Pay Rate</c:v>
                </c:pt>
              </c:strCache>
            </c:strRef>
          </c:cat>
          <c:val>
            <c:numRef>
              <c:f>Calculations!$F$4:$G$4</c:f>
              <c:numCache>
                <c:formatCode>"£"#,##0.00_);[Red]\("£"#,##0.00\)</c:formatCode>
                <c:ptCount val="2"/>
                <c:pt idx="0">
                  <c:v>12.83</c:v>
                </c:pt>
                <c:pt idx="1">
                  <c:v>14.18</c:v>
                </c:pt>
              </c:numCache>
            </c:numRef>
          </c:val>
          <c:extLst>
            <c:ext xmlns:c16="http://schemas.microsoft.com/office/drawing/2014/chart" uri="{C3380CC4-5D6E-409C-BE32-E72D297353CC}">
              <c16:uniqueId val="{00000002-B93F-4813-BF96-C2A4B1111EE3}"/>
            </c:ext>
          </c:extLst>
        </c:ser>
        <c:ser>
          <c:idx val="1"/>
          <c:order val="1"/>
          <c:tx>
            <c:strRef>
              <c:f>Calculations!$E$5</c:f>
              <c:strCache>
                <c:ptCount val="1"/>
                <c:pt idx="0">
                  <c:v>Male</c:v>
                </c:pt>
              </c:strCache>
            </c:strRef>
          </c:tx>
          <c:spPr>
            <a:solidFill>
              <a:srgbClr val="009999"/>
            </a:solidFill>
            <a:ln>
              <a:noFill/>
            </a:ln>
            <a:effectLst/>
            <a:sp3d/>
          </c:spPr>
          <c:invertIfNegative val="0"/>
          <c:dLbls>
            <c:dLbl>
              <c:idx val="0"/>
              <c:layout>
                <c:manualLayout>
                  <c:x val="2.7777777777777776E-2"/>
                  <c:y val="-3.70370370370370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93F-4813-BF96-C2A4B1111EE3}"/>
                </c:ext>
              </c:extLst>
            </c:dLbl>
            <c:dLbl>
              <c:idx val="1"/>
              <c:layout>
                <c:manualLayout>
                  <c:x val="3.3333333333333333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93F-4813-BF96-C2A4B1111EE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Calculations!$F$3:$G$3</c:f>
              <c:strCache>
                <c:ptCount val="2"/>
                <c:pt idx="0">
                  <c:v>Median Pay Rate</c:v>
                </c:pt>
                <c:pt idx="1">
                  <c:v>Mean Pay Rate</c:v>
                </c:pt>
              </c:strCache>
            </c:strRef>
          </c:cat>
          <c:val>
            <c:numRef>
              <c:f>Calculations!$F$5:$G$5</c:f>
              <c:numCache>
                <c:formatCode>"£"#,##0.00</c:formatCode>
                <c:ptCount val="2"/>
                <c:pt idx="0" formatCode="&quot;£&quot;#,##0.00_);[Red]\(&quot;£&quot;#,##0.00\)">
                  <c:v>13.45</c:v>
                </c:pt>
                <c:pt idx="1">
                  <c:v>14.9</c:v>
                </c:pt>
              </c:numCache>
            </c:numRef>
          </c:val>
          <c:extLst>
            <c:ext xmlns:c16="http://schemas.microsoft.com/office/drawing/2014/chart" uri="{C3380CC4-5D6E-409C-BE32-E72D297353CC}">
              <c16:uniqueId val="{00000005-B93F-4813-BF96-C2A4B1111EE3}"/>
            </c:ext>
          </c:extLst>
        </c:ser>
        <c:dLbls>
          <c:showLegendKey val="0"/>
          <c:showVal val="1"/>
          <c:showCatName val="0"/>
          <c:showSerName val="0"/>
          <c:showPercent val="0"/>
          <c:showBubbleSize val="0"/>
        </c:dLbls>
        <c:gapWidth val="150"/>
        <c:shape val="box"/>
        <c:axId val="1679052736"/>
        <c:axId val="1679054656"/>
        <c:axId val="0"/>
      </c:bar3DChart>
      <c:catAx>
        <c:axId val="16790527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9054656"/>
        <c:crosses val="autoZero"/>
        <c:auto val="1"/>
        <c:lblAlgn val="ctr"/>
        <c:lblOffset val="100"/>
        <c:noMultiLvlLbl val="0"/>
      </c:catAx>
      <c:valAx>
        <c:axId val="1679054656"/>
        <c:scaling>
          <c:orientation val="minMax"/>
        </c:scaling>
        <c:delete val="0"/>
        <c:axPos val="l"/>
        <c:majorGridlines>
          <c:spPr>
            <a:ln w="9525" cap="flat" cmpd="sng" algn="ctr">
              <a:solidFill>
                <a:schemeClr val="tx1">
                  <a:lumMod val="15000"/>
                  <a:lumOff val="85000"/>
                </a:schemeClr>
              </a:solidFill>
              <a:round/>
            </a:ln>
            <a:effectLst/>
          </c:spPr>
        </c:majorGridlines>
        <c:numFmt formatCode="&quot;£&quot;#,##0.00_);[Red]\(&quot;£&quot;#,##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9052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Gender</a:t>
            </a:r>
            <a:r>
              <a:rPr lang="en-GB" baseline="0"/>
              <a:t> Split by Quartile</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Calculations!$F$7</c:f>
              <c:strCache>
                <c:ptCount val="1"/>
                <c:pt idx="0">
                  <c:v>Female</c:v>
                </c:pt>
              </c:strCache>
            </c:strRef>
          </c:tx>
          <c:spPr>
            <a:solidFill>
              <a:srgbClr val="FF7C8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Calculations!$E$8:$E$11</c:f>
              <c:strCache>
                <c:ptCount val="4"/>
                <c:pt idx="0">
                  <c:v>Upper Quartile</c:v>
                </c:pt>
                <c:pt idx="1">
                  <c:v>Upper Middle Quartile</c:v>
                </c:pt>
                <c:pt idx="2">
                  <c:v>Lower Middle Quartile</c:v>
                </c:pt>
                <c:pt idx="3">
                  <c:v>Lower Quartile</c:v>
                </c:pt>
              </c:strCache>
            </c:strRef>
          </c:cat>
          <c:val>
            <c:numRef>
              <c:f>Calculations!$F$8:$F$11</c:f>
              <c:numCache>
                <c:formatCode>0%</c:formatCode>
                <c:ptCount val="4"/>
                <c:pt idx="0">
                  <c:v>0.79</c:v>
                </c:pt>
                <c:pt idx="1">
                  <c:v>0.82</c:v>
                </c:pt>
                <c:pt idx="2">
                  <c:v>0.83</c:v>
                </c:pt>
                <c:pt idx="3">
                  <c:v>0.87</c:v>
                </c:pt>
              </c:numCache>
            </c:numRef>
          </c:val>
          <c:extLst>
            <c:ext xmlns:c16="http://schemas.microsoft.com/office/drawing/2014/chart" uri="{C3380CC4-5D6E-409C-BE32-E72D297353CC}">
              <c16:uniqueId val="{00000000-A248-462D-A17E-586ECE4B6975}"/>
            </c:ext>
          </c:extLst>
        </c:ser>
        <c:ser>
          <c:idx val="1"/>
          <c:order val="1"/>
          <c:tx>
            <c:strRef>
              <c:f>Calculations!$G$7</c:f>
              <c:strCache>
                <c:ptCount val="1"/>
                <c:pt idx="0">
                  <c:v>Male</c:v>
                </c:pt>
              </c:strCache>
            </c:strRef>
          </c:tx>
          <c:spPr>
            <a:solidFill>
              <a:srgbClr val="009999"/>
            </a:solidFill>
            <a:ln>
              <a:noFill/>
            </a:ln>
            <a:effectLst/>
            <a:sp3d/>
          </c:spPr>
          <c:invertIfNegative val="0"/>
          <c:dLbls>
            <c:dLbl>
              <c:idx val="0"/>
              <c:layout>
                <c:manualLayout>
                  <c:x val="-5.0925337632079971E-17"/>
                  <c:y val="-1.3888888888888888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248-462D-A17E-586ECE4B6975}"/>
                </c:ext>
              </c:extLst>
            </c:dLbl>
            <c:dLbl>
              <c:idx val="1"/>
              <c:layout>
                <c:manualLayout>
                  <c:x val="-5.0925337632079971E-17"/>
                  <c:y val="-1.8518518518518517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248-462D-A17E-586ECE4B6975}"/>
                </c:ext>
              </c:extLst>
            </c:dLbl>
            <c:dLbl>
              <c:idx val="2"/>
              <c:layout>
                <c:manualLayout>
                  <c:x val="0"/>
                  <c:y val="-2.3148148148148147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248-462D-A17E-586ECE4B6975}"/>
                </c:ext>
              </c:extLst>
            </c:dLbl>
            <c:dLbl>
              <c:idx val="3"/>
              <c:layout>
                <c:manualLayout>
                  <c:x val="-2.7777777777777779E-3"/>
                  <c:y val="-3.2407407407407406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248-462D-A17E-586ECE4B697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Calculations!$E$8:$E$11</c:f>
              <c:strCache>
                <c:ptCount val="4"/>
                <c:pt idx="0">
                  <c:v>Upper Quartile</c:v>
                </c:pt>
                <c:pt idx="1">
                  <c:v>Upper Middle Quartile</c:v>
                </c:pt>
                <c:pt idx="2">
                  <c:v>Lower Middle Quartile</c:v>
                </c:pt>
                <c:pt idx="3">
                  <c:v>Lower Quartile</c:v>
                </c:pt>
              </c:strCache>
            </c:strRef>
          </c:cat>
          <c:val>
            <c:numRef>
              <c:f>Calculations!$G$8:$G$11</c:f>
              <c:numCache>
                <c:formatCode>0%</c:formatCode>
                <c:ptCount val="4"/>
                <c:pt idx="0">
                  <c:v>0.21</c:v>
                </c:pt>
                <c:pt idx="1">
                  <c:v>0.18</c:v>
                </c:pt>
                <c:pt idx="2">
                  <c:v>0.17</c:v>
                </c:pt>
                <c:pt idx="3">
                  <c:v>0.13</c:v>
                </c:pt>
              </c:numCache>
            </c:numRef>
          </c:val>
          <c:extLst>
            <c:ext xmlns:c16="http://schemas.microsoft.com/office/drawing/2014/chart" uri="{C3380CC4-5D6E-409C-BE32-E72D297353CC}">
              <c16:uniqueId val="{00000005-A248-462D-A17E-586ECE4B6975}"/>
            </c:ext>
          </c:extLst>
        </c:ser>
        <c:dLbls>
          <c:showLegendKey val="0"/>
          <c:showVal val="1"/>
          <c:showCatName val="0"/>
          <c:showSerName val="0"/>
          <c:showPercent val="0"/>
          <c:showBubbleSize val="0"/>
        </c:dLbls>
        <c:gapWidth val="150"/>
        <c:shape val="box"/>
        <c:axId val="1345908320"/>
        <c:axId val="1345906880"/>
        <c:axId val="0"/>
      </c:bar3DChart>
      <c:catAx>
        <c:axId val="134590832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5906880"/>
        <c:crosses val="autoZero"/>
        <c:auto val="1"/>
        <c:lblAlgn val="ctr"/>
        <c:lblOffset val="100"/>
        <c:noMultiLvlLbl val="0"/>
      </c:catAx>
      <c:valAx>
        <c:axId val="134590688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5908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3</Pages>
  <Words>607</Words>
  <Characters>3304</Characters>
  <Application>Microsoft Office Word</Application>
  <DocSecurity>0</DocSecurity>
  <Lines>165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Woodward</dc:creator>
  <cp:keywords/>
  <dc:description/>
  <cp:lastModifiedBy>Janette Woodward</cp:lastModifiedBy>
  <cp:revision>111</cp:revision>
  <dcterms:created xsi:type="dcterms:W3CDTF">2026-02-09T10:24:00Z</dcterms:created>
  <dcterms:modified xsi:type="dcterms:W3CDTF">2026-02-20T13:22:00Z</dcterms:modified>
</cp:coreProperties>
</file>